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42" w:rsidRDefault="00202442" w:rsidP="00202442">
      <w:r>
        <w:rPr>
          <w:rFonts w:hint="eastAsia"/>
        </w:rPr>
        <w:t>项目简介：</w:t>
      </w:r>
    </w:p>
    <w:p w:rsidR="00202442" w:rsidRDefault="00202442" w:rsidP="00202442"/>
    <w:p w:rsidR="00202442" w:rsidRDefault="00202442" w:rsidP="00202442">
      <w:pPr>
        <w:ind w:firstLine="420"/>
        <w:rPr>
          <w:rFonts w:ascii="宋体"/>
          <w:color w:val="000000"/>
          <w:szCs w:val="24"/>
        </w:rPr>
      </w:pPr>
      <w:proofErr w:type="spellStart"/>
      <w:r>
        <w:rPr>
          <w:rFonts w:ascii="宋体"/>
          <w:color w:val="000000"/>
          <w:szCs w:val="24"/>
        </w:rPr>
        <w:t>GloColl</w:t>
      </w:r>
      <w:proofErr w:type="spellEnd"/>
      <w:r>
        <w:rPr>
          <w:rFonts w:ascii="宋体" w:hint="eastAsia"/>
          <w:color w:val="000000"/>
          <w:szCs w:val="24"/>
        </w:rPr>
        <w:t>项目由哈佛商学院全体教师参与策划，旨在创建一个强大的管理教育工作者组织，他们在全球范围内致力于参与式学习的最佳实践。为便于著名管理院校教师之间的交流，本项目通过创新和课程设计两方面的教学来促进参与式学习。此外，</w:t>
      </w:r>
      <w:proofErr w:type="spellStart"/>
      <w:r>
        <w:rPr>
          <w:rFonts w:ascii="宋体"/>
          <w:color w:val="000000"/>
          <w:szCs w:val="24"/>
        </w:rPr>
        <w:t>GloColl</w:t>
      </w:r>
      <w:proofErr w:type="spellEnd"/>
      <w:r>
        <w:rPr>
          <w:rFonts w:ascii="宋体" w:hint="eastAsia"/>
          <w:color w:val="000000"/>
          <w:szCs w:val="24"/>
        </w:rPr>
        <w:t>还在世界各地帮助商学院教师在其学校或主要院系采用这一方法。</w:t>
      </w:r>
    </w:p>
    <w:p w:rsidR="00202442" w:rsidRDefault="00202442" w:rsidP="00202442">
      <w:pPr>
        <w:ind w:firstLineChars="200" w:firstLine="632"/>
        <w:rPr>
          <w:rFonts w:ascii="宋体"/>
          <w:color w:val="000000"/>
          <w:szCs w:val="24"/>
        </w:rPr>
      </w:pPr>
      <w:r>
        <w:rPr>
          <w:rFonts w:ascii="宋体" w:hint="eastAsia"/>
          <w:color w:val="000000"/>
          <w:szCs w:val="24"/>
        </w:rPr>
        <w:t>为了保证该项目的实时性，</w:t>
      </w:r>
      <w:proofErr w:type="spellStart"/>
      <w:r>
        <w:rPr>
          <w:rFonts w:ascii="宋体"/>
          <w:color w:val="000000"/>
          <w:szCs w:val="24"/>
        </w:rPr>
        <w:t>Glocoll</w:t>
      </w:r>
      <w:proofErr w:type="spellEnd"/>
      <w:r>
        <w:rPr>
          <w:rFonts w:ascii="宋体" w:hint="eastAsia"/>
          <w:color w:val="000000"/>
          <w:szCs w:val="24"/>
        </w:rPr>
        <w:t>项目是</w:t>
      </w:r>
      <w:r>
        <w:rPr>
          <w:rFonts w:ascii="宋体"/>
          <w:color w:val="000000"/>
          <w:szCs w:val="24"/>
        </w:rPr>
        <w:t>HBS</w:t>
      </w:r>
      <w:r>
        <w:rPr>
          <w:rFonts w:ascii="宋体" w:hint="eastAsia"/>
          <w:color w:val="000000"/>
          <w:szCs w:val="24"/>
        </w:rPr>
        <w:t>的院系主任、教授们以及世界各地主要商学院的院长们经过长期深入的探讨与论证后所设计出的成果。</w:t>
      </w:r>
    </w:p>
    <w:p w:rsidR="00202442" w:rsidRPr="00A226AE" w:rsidRDefault="00202442" w:rsidP="00202442">
      <w:pPr>
        <w:ind w:firstLineChars="200" w:firstLine="632"/>
        <w:rPr>
          <w:rFonts w:ascii="宋体"/>
          <w:color w:val="000000"/>
          <w:szCs w:val="24"/>
        </w:rPr>
      </w:pPr>
      <w:r w:rsidRPr="00A226AE">
        <w:rPr>
          <w:rFonts w:ascii="宋体" w:hint="eastAsia"/>
          <w:color w:val="000000"/>
          <w:szCs w:val="24"/>
        </w:rPr>
        <w:t>参加者将通过与</w:t>
      </w:r>
      <w:r w:rsidRPr="00A226AE">
        <w:rPr>
          <w:rFonts w:ascii="宋体"/>
          <w:color w:val="000000"/>
          <w:szCs w:val="24"/>
        </w:rPr>
        <w:t>参与者</w:t>
      </w:r>
      <w:r w:rsidRPr="00A226AE">
        <w:rPr>
          <w:rFonts w:ascii="宋体" w:hint="eastAsia"/>
          <w:color w:val="000000"/>
          <w:szCs w:val="24"/>
        </w:rPr>
        <w:t>为中心的全球研讨会是</w:t>
      </w:r>
      <w:r w:rsidRPr="00A226AE">
        <w:rPr>
          <w:rFonts w:ascii="宋体"/>
          <w:color w:val="000000"/>
          <w:szCs w:val="24"/>
        </w:rPr>
        <w:t>主导式学习法</w:t>
      </w:r>
      <w:r w:rsidRPr="00A226AE">
        <w:rPr>
          <w:rFonts w:ascii="宋体" w:hint="eastAsia"/>
          <w:color w:val="000000"/>
          <w:szCs w:val="24"/>
        </w:rPr>
        <w:t>的</w:t>
      </w:r>
      <w:r w:rsidRPr="00A226AE">
        <w:rPr>
          <w:rFonts w:ascii="宋体"/>
          <w:color w:val="000000"/>
          <w:szCs w:val="24"/>
        </w:rPr>
        <w:t>最佳案例</w:t>
      </w:r>
      <w:r w:rsidRPr="00A226AE">
        <w:rPr>
          <w:rFonts w:ascii="宋体" w:hint="eastAsia"/>
          <w:color w:val="000000"/>
          <w:szCs w:val="24"/>
        </w:rPr>
        <w:t>而</w:t>
      </w:r>
      <w:r w:rsidRPr="00A226AE">
        <w:rPr>
          <w:rFonts w:ascii="宋体"/>
          <w:color w:val="000000"/>
          <w:szCs w:val="24"/>
        </w:rPr>
        <w:t>受益</w:t>
      </w:r>
      <w:r w:rsidRPr="00A226AE">
        <w:rPr>
          <w:rFonts w:ascii="宋体" w:hint="eastAsia"/>
          <w:color w:val="000000"/>
          <w:szCs w:val="24"/>
        </w:rPr>
        <w:t>，</w:t>
      </w:r>
      <w:r w:rsidRPr="00A226AE">
        <w:rPr>
          <w:rFonts w:ascii="宋体"/>
          <w:color w:val="000000"/>
          <w:szCs w:val="24"/>
        </w:rPr>
        <w:t>并应能与</w:t>
      </w:r>
      <w:r w:rsidRPr="00A226AE">
        <w:rPr>
          <w:rFonts w:ascii="宋体" w:hint="eastAsia"/>
          <w:color w:val="000000"/>
          <w:szCs w:val="24"/>
        </w:rPr>
        <w:t>具有</w:t>
      </w:r>
      <w:r w:rsidRPr="00A226AE">
        <w:rPr>
          <w:rFonts w:ascii="宋体"/>
          <w:color w:val="000000"/>
          <w:szCs w:val="24"/>
        </w:rPr>
        <w:t>全球</w:t>
      </w:r>
      <w:r w:rsidRPr="00A226AE">
        <w:rPr>
          <w:rFonts w:ascii="宋体" w:hint="eastAsia"/>
          <w:color w:val="000000"/>
          <w:szCs w:val="24"/>
        </w:rPr>
        <w:t>尖端思想</w:t>
      </w:r>
      <w:r w:rsidRPr="00A226AE">
        <w:rPr>
          <w:rFonts w:ascii="宋体"/>
          <w:color w:val="000000"/>
          <w:szCs w:val="24"/>
        </w:rPr>
        <w:t>之</w:t>
      </w:r>
      <w:r w:rsidRPr="00A226AE">
        <w:rPr>
          <w:rFonts w:ascii="宋体" w:hint="eastAsia"/>
          <w:color w:val="000000"/>
          <w:szCs w:val="24"/>
        </w:rPr>
        <w:t>教育管理者研讨</w:t>
      </w:r>
      <w:r w:rsidRPr="00A226AE">
        <w:rPr>
          <w:rFonts w:ascii="宋体"/>
          <w:color w:val="000000"/>
          <w:szCs w:val="24"/>
        </w:rPr>
        <w:t>其</w:t>
      </w:r>
      <w:r w:rsidRPr="00A226AE">
        <w:rPr>
          <w:rFonts w:ascii="宋体" w:hint="eastAsia"/>
          <w:color w:val="000000"/>
          <w:szCs w:val="24"/>
        </w:rPr>
        <w:t>观点。</w:t>
      </w:r>
    </w:p>
    <w:p w:rsidR="00202442" w:rsidRPr="00A226AE" w:rsidRDefault="00202442" w:rsidP="00202442">
      <w:pPr>
        <w:widowControl/>
        <w:numPr>
          <w:ilvl w:val="0"/>
          <w:numId w:val="1"/>
        </w:numPr>
        <w:spacing w:before="100" w:beforeAutospacing="1" w:after="100" w:afterAutospacing="1"/>
        <w:jc w:val="left"/>
        <w:rPr>
          <w:rFonts w:ascii="仿宋" w:eastAsia="仿宋" w:hAnsi="仿宋" w:cs="Calibri"/>
          <w:color w:val="000000"/>
          <w:kern w:val="0"/>
          <w:szCs w:val="21"/>
        </w:rPr>
      </w:pPr>
      <w:r w:rsidRPr="00A226AE">
        <w:rPr>
          <w:rFonts w:ascii="仿宋" w:eastAsia="仿宋" w:hAnsi="仿宋" w:cs="Calibri"/>
          <w:color w:val="000000"/>
          <w:kern w:val="0"/>
          <w:szCs w:val="21"/>
        </w:rPr>
        <w:t>Employ more effective teaching methods that enhance management practice</w:t>
      </w:r>
    </w:p>
    <w:p w:rsidR="00202442" w:rsidRPr="00A226AE" w:rsidRDefault="00202442" w:rsidP="00202442">
      <w:pPr>
        <w:widowControl/>
        <w:numPr>
          <w:ilvl w:val="0"/>
          <w:numId w:val="1"/>
        </w:numPr>
        <w:spacing w:before="100" w:beforeAutospacing="1" w:after="100" w:afterAutospacing="1"/>
        <w:jc w:val="left"/>
        <w:rPr>
          <w:rFonts w:ascii="仿宋" w:eastAsia="仿宋" w:hAnsi="仿宋" w:cs="Calibri"/>
          <w:color w:val="000000"/>
          <w:kern w:val="0"/>
          <w:szCs w:val="21"/>
        </w:rPr>
      </w:pPr>
      <w:r w:rsidRPr="00A226AE">
        <w:rPr>
          <w:rFonts w:ascii="仿宋" w:eastAsia="仿宋" w:hAnsi="仿宋" w:cs="Calibri" w:hint="eastAsia"/>
          <w:color w:val="000000"/>
          <w:kern w:val="0"/>
          <w:szCs w:val="21"/>
        </w:rPr>
        <w:t>使用更加有效</w:t>
      </w:r>
      <w:r w:rsidRPr="00A226AE">
        <w:rPr>
          <w:rFonts w:ascii="仿宋" w:eastAsia="仿宋" w:hAnsi="仿宋" w:cs="Calibri"/>
          <w:color w:val="000000"/>
          <w:kern w:val="0"/>
          <w:szCs w:val="21"/>
        </w:rPr>
        <w:t>的教学法，以提升管理</w:t>
      </w:r>
      <w:r w:rsidRPr="00A226AE">
        <w:rPr>
          <w:rFonts w:ascii="仿宋" w:eastAsia="仿宋" w:hAnsi="仿宋" w:cs="Calibri" w:hint="eastAsia"/>
          <w:color w:val="000000"/>
          <w:kern w:val="0"/>
          <w:szCs w:val="21"/>
        </w:rPr>
        <w:t>工作</w:t>
      </w:r>
      <w:r w:rsidRPr="00A226AE">
        <w:rPr>
          <w:rFonts w:ascii="仿宋" w:eastAsia="仿宋" w:hAnsi="仿宋" w:cs="Calibri"/>
          <w:color w:val="000000"/>
          <w:kern w:val="0"/>
          <w:szCs w:val="21"/>
        </w:rPr>
        <w:t>的水平</w:t>
      </w:r>
    </w:p>
    <w:p w:rsidR="00202442" w:rsidRPr="00A226AE" w:rsidRDefault="00202442" w:rsidP="00202442">
      <w:pPr>
        <w:widowControl/>
        <w:numPr>
          <w:ilvl w:val="0"/>
          <w:numId w:val="1"/>
        </w:numPr>
        <w:spacing w:before="100" w:beforeAutospacing="1" w:after="100" w:afterAutospacing="1"/>
        <w:jc w:val="left"/>
        <w:rPr>
          <w:rFonts w:ascii="仿宋" w:eastAsia="仿宋" w:hAnsi="仿宋" w:cs="Calibri"/>
          <w:color w:val="000000"/>
          <w:kern w:val="0"/>
          <w:szCs w:val="21"/>
        </w:rPr>
      </w:pPr>
      <w:r w:rsidRPr="00A226AE">
        <w:rPr>
          <w:rFonts w:ascii="仿宋" w:eastAsia="仿宋" w:hAnsi="仿宋" w:cs="Calibri"/>
          <w:color w:val="000000"/>
          <w:kern w:val="0"/>
          <w:szCs w:val="21"/>
        </w:rPr>
        <w:t>Design more relevant and impactful curricula, courses, and materials</w:t>
      </w:r>
    </w:p>
    <w:p w:rsidR="00202442" w:rsidRPr="00A226AE" w:rsidRDefault="00202442" w:rsidP="00202442">
      <w:pPr>
        <w:widowControl/>
        <w:numPr>
          <w:ilvl w:val="0"/>
          <w:numId w:val="1"/>
        </w:numPr>
        <w:spacing w:before="100" w:beforeAutospacing="1" w:after="100" w:afterAutospacing="1"/>
        <w:jc w:val="left"/>
        <w:rPr>
          <w:rFonts w:ascii="仿宋" w:eastAsia="仿宋" w:hAnsi="仿宋" w:cs="Calibri"/>
          <w:color w:val="000000"/>
          <w:kern w:val="0"/>
          <w:szCs w:val="21"/>
        </w:rPr>
      </w:pPr>
      <w:r w:rsidRPr="00A226AE">
        <w:rPr>
          <w:rFonts w:ascii="仿宋" w:eastAsia="仿宋" w:hAnsi="仿宋" w:cs="Calibri" w:hint="eastAsia"/>
          <w:color w:val="000000"/>
          <w:kern w:val="0"/>
          <w:szCs w:val="21"/>
        </w:rPr>
        <w:t>设计更加</w:t>
      </w:r>
      <w:r w:rsidRPr="00A226AE">
        <w:rPr>
          <w:rFonts w:ascii="仿宋" w:eastAsia="仿宋" w:hAnsi="仿宋" w:cs="Calibri"/>
          <w:color w:val="000000"/>
          <w:kern w:val="0"/>
          <w:szCs w:val="21"/>
        </w:rPr>
        <w:t>具</w:t>
      </w:r>
      <w:r w:rsidRPr="00A226AE">
        <w:rPr>
          <w:rFonts w:ascii="仿宋" w:eastAsia="仿宋" w:hAnsi="仿宋" w:cs="Calibri" w:hint="eastAsia"/>
          <w:color w:val="000000"/>
          <w:kern w:val="0"/>
          <w:szCs w:val="21"/>
        </w:rPr>
        <w:t>有针对性、</w:t>
      </w:r>
      <w:r w:rsidRPr="00A226AE">
        <w:rPr>
          <w:rFonts w:ascii="仿宋" w:eastAsia="仿宋" w:hAnsi="仿宋" w:cs="Calibri"/>
          <w:color w:val="000000"/>
          <w:kern w:val="0"/>
          <w:szCs w:val="21"/>
        </w:rPr>
        <w:t>更具影响力的课程体系、课程内容和</w:t>
      </w:r>
      <w:r w:rsidRPr="00A226AE">
        <w:rPr>
          <w:rFonts w:ascii="仿宋" w:eastAsia="仿宋" w:hAnsi="仿宋" w:cs="Calibri" w:hint="eastAsia"/>
          <w:color w:val="000000"/>
          <w:kern w:val="0"/>
          <w:szCs w:val="21"/>
        </w:rPr>
        <w:t>课程所需</w:t>
      </w:r>
      <w:r w:rsidRPr="00A226AE">
        <w:rPr>
          <w:rFonts w:ascii="仿宋" w:eastAsia="仿宋" w:hAnsi="仿宋" w:cs="Calibri"/>
          <w:color w:val="000000"/>
          <w:kern w:val="0"/>
          <w:szCs w:val="21"/>
        </w:rPr>
        <w:t>的物料材料</w:t>
      </w:r>
    </w:p>
    <w:p w:rsidR="00202442" w:rsidRPr="00A226AE" w:rsidRDefault="00202442" w:rsidP="00202442">
      <w:pPr>
        <w:widowControl/>
        <w:numPr>
          <w:ilvl w:val="0"/>
          <w:numId w:val="1"/>
        </w:numPr>
        <w:spacing w:before="100" w:beforeAutospacing="1" w:after="100" w:afterAutospacing="1"/>
        <w:jc w:val="left"/>
        <w:rPr>
          <w:rFonts w:ascii="仿宋" w:eastAsia="仿宋" w:hAnsi="仿宋" w:cs="Calibri"/>
          <w:color w:val="000000"/>
          <w:kern w:val="0"/>
          <w:szCs w:val="21"/>
        </w:rPr>
      </w:pPr>
      <w:r w:rsidRPr="00A226AE">
        <w:rPr>
          <w:rFonts w:ascii="仿宋" w:eastAsia="仿宋" w:hAnsi="仿宋" w:cs="Calibri"/>
          <w:color w:val="000000"/>
          <w:kern w:val="0"/>
          <w:szCs w:val="21"/>
        </w:rPr>
        <w:lastRenderedPageBreak/>
        <w:t>Drive innovation and improve learning across the business curriculum</w:t>
      </w:r>
    </w:p>
    <w:p w:rsidR="00202442" w:rsidRPr="00A226AE" w:rsidRDefault="00202442" w:rsidP="00202442">
      <w:pPr>
        <w:widowControl/>
        <w:numPr>
          <w:ilvl w:val="0"/>
          <w:numId w:val="1"/>
        </w:numPr>
        <w:spacing w:before="100" w:beforeAutospacing="1" w:after="100" w:afterAutospacing="1"/>
        <w:jc w:val="left"/>
        <w:rPr>
          <w:rFonts w:ascii="仿宋" w:eastAsia="仿宋" w:hAnsi="仿宋" w:cs="Calibri"/>
          <w:color w:val="000000"/>
          <w:kern w:val="0"/>
          <w:szCs w:val="21"/>
        </w:rPr>
      </w:pPr>
      <w:r w:rsidRPr="00A226AE">
        <w:rPr>
          <w:rFonts w:ascii="仿宋" w:eastAsia="仿宋" w:hAnsi="仿宋" w:cs="Calibri" w:hint="eastAsia"/>
          <w:color w:val="000000"/>
          <w:kern w:val="0"/>
          <w:szCs w:val="21"/>
        </w:rPr>
        <w:t>激发</w:t>
      </w:r>
      <w:r w:rsidRPr="00A226AE">
        <w:rPr>
          <w:rFonts w:ascii="仿宋" w:eastAsia="仿宋" w:hAnsi="仿宋" w:cs="Calibri"/>
          <w:color w:val="000000"/>
          <w:kern w:val="0"/>
          <w:szCs w:val="21"/>
        </w:rPr>
        <w:t>创新精神，</w:t>
      </w:r>
      <w:r w:rsidRPr="00A226AE">
        <w:rPr>
          <w:rFonts w:ascii="仿宋" w:eastAsia="仿宋" w:hAnsi="仿宋" w:cs="Calibri" w:hint="eastAsia"/>
          <w:color w:val="000000"/>
          <w:kern w:val="0"/>
          <w:szCs w:val="21"/>
        </w:rPr>
        <w:t>提升全商科课程</w:t>
      </w:r>
      <w:r w:rsidRPr="00A226AE">
        <w:rPr>
          <w:rFonts w:ascii="仿宋" w:eastAsia="仿宋" w:hAnsi="仿宋" w:cs="Calibri"/>
          <w:color w:val="000000"/>
          <w:kern w:val="0"/>
          <w:szCs w:val="21"/>
        </w:rPr>
        <w:t>学习力</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领导者和教师的学习与发展</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人的学习方式探究和优秀教师的素质</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评议讨论式学习的原理</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案例教学的适用时机</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教学策略之准备与执行</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制定教学计划</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学习契约的定义</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提问、倾听和反馈</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建立牢固师生关系</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编写和编辑的实际案例</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探索实地研究和教学</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经济、道德和学校的融合</w:t>
      </w:r>
    </w:p>
    <w:p w:rsidR="00202442" w:rsidRPr="00A226AE" w:rsidRDefault="00202442" w:rsidP="00202442">
      <w:pPr>
        <w:pStyle w:val="1"/>
        <w:numPr>
          <w:ilvl w:val="0"/>
          <w:numId w:val="1"/>
        </w:numPr>
        <w:ind w:firstLineChars="0"/>
        <w:rPr>
          <w:rFonts w:ascii="仿宋" w:eastAsia="仿宋" w:hAnsi="仿宋"/>
          <w:color w:val="000000"/>
          <w:sz w:val="32"/>
          <w:szCs w:val="32"/>
        </w:rPr>
      </w:pPr>
      <w:r w:rsidRPr="00A226AE">
        <w:rPr>
          <w:rFonts w:ascii="仿宋" w:eastAsia="仿宋" w:hAnsi="仿宋" w:hint="eastAsia"/>
          <w:color w:val="000000"/>
          <w:sz w:val="32"/>
          <w:szCs w:val="32"/>
        </w:rPr>
        <w:t>评议参与式教学的引进方法，包括支持要求和政府答复。</w:t>
      </w:r>
    </w:p>
    <w:p w:rsidR="00202442" w:rsidRPr="00A226AE" w:rsidRDefault="00202442" w:rsidP="00202442">
      <w:pPr>
        <w:pStyle w:val="1"/>
        <w:ind w:left="360" w:firstLineChars="0" w:firstLine="0"/>
        <w:rPr>
          <w:rFonts w:ascii="仿宋" w:eastAsia="仿宋" w:hAnsi="仿宋"/>
          <w:color w:val="000000"/>
          <w:sz w:val="32"/>
          <w:szCs w:val="32"/>
        </w:rPr>
      </w:pPr>
      <w:r w:rsidRPr="00A226AE">
        <w:rPr>
          <w:rFonts w:ascii="仿宋" w:eastAsia="仿宋" w:hAnsi="仿宋" w:hint="eastAsia"/>
          <w:color w:val="000000"/>
          <w:sz w:val="32"/>
          <w:szCs w:val="32"/>
        </w:rPr>
        <w:t>全程全英语交流与教学。</w:t>
      </w:r>
    </w:p>
    <w:p w:rsidR="00202442" w:rsidRPr="00A226AE" w:rsidRDefault="00202442" w:rsidP="00202442">
      <w:pPr>
        <w:ind w:firstLineChars="150" w:firstLine="474"/>
        <w:rPr>
          <w:rFonts w:ascii="仿宋" w:eastAsia="仿宋" w:hAnsi="仿宋"/>
        </w:rPr>
      </w:pPr>
      <w:r w:rsidRPr="00A226AE">
        <w:rPr>
          <w:rFonts w:ascii="仿宋" w:eastAsia="仿宋" w:hAnsi="仿宋" w:hint="eastAsia"/>
          <w:color w:val="000000"/>
          <w:szCs w:val="32"/>
        </w:rPr>
        <w:t>项目官方链接：</w:t>
      </w:r>
      <w:hyperlink r:id="rId7" w:tgtFrame="_blank" w:history="1">
        <w:r w:rsidRPr="00A226AE">
          <w:rPr>
            <w:rFonts w:ascii="仿宋" w:eastAsia="仿宋" w:hAnsi="仿宋" w:cs="Calibri"/>
            <w:color w:val="0000FF"/>
            <w:kern w:val="0"/>
            <w:szCs w:val="21"/>
            <w:u w:val="single"/>
          </w:rPr>
          <w:t>Global Colloquium on Participant-Centered Learning</w:t>
        </w:r>
      </w:hyperlink>
    </w:p>
    <w:p w:rsidR="00202442" w:rsidRPr="00A226AE" w:rsidRDefault="00202442" w:rsidP="00202442">
      <w:pPr>
        <w:spacing w:line="560" w:lineRule="exact"/>
        <w:ind w:left="632"/>
        <w:jc w:val="center"/>
        <w:rPr>
          <w:rFonts w:ascii="仿宋" w:eastAsia="仿宋" w:hAnsi="仿宋" w:hint="eastAsia"/>
          <w:sz w:val="44"/>
          <w:szCs w:val="44"/>
        </w:rPr>
      </w:pPr>
    </w:p>
    <w:p w:rsidR="00DC043D" w:rsidRDefault="00DC043D">
      <w:bookmarkStart w:id="0" w:name="_GoBack"/>
      <w:bookmarkEnd w:id="0"/>
    </w:p>
    <w:sectPr w:rsidR="00DC043D" w:rsidSect="0015405C">
      <w:footerReference w:type="even" r:id="rId8"/>
      <w:footerReference w:type="default" r:id="rId9"/>
      <w:footerReference w:type="first" r:id="rId10"/>
      <w:pgSz w:w="11907" w:h="16840" w:code="9"/>
      <w:pgMar w:top="2041" w:right="1531" w:bottom="2041"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194" w:rsidRDefault="00314194" w:rsidP="00202442">
      <w:r>
        <w:separator/>
      </w:r>
    </w:p>
  </w:endnote>
  <w:endnote w:type="continuationSeparator" w:id="0">
    <w:p w:rsidR="00314194" w:rsidRDefault="00314194" w:rsidP="0020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974" w:rsidRDefault="00314194" w:rsidP="0015405C">
    <w:pPr>
      <w:pStyle w:val="a5"/>
      <w:framePr w:wrap="around" w:vAnchor="text" w:hAnchor="margin" w:xAlign="outside" w:y="1"/>
      <w:ind w:firstLineChars="100" w:firstLine="280"/>
      <w:rPr>
        <w:rStyle w:val="a7"/>
        <w:rFonts w:hint="eastAsia"/>
        <w:sz w:val="28"/>
      </w:rPr>
    </w:pPr>
    <w:r>
      <w:rPr>
        <w:rStyle w:val="a7"/>
        <w:rFonts w:hint="eastAsia"/>
        <w:sz w:val="28"/>
      </w:rPr>
      <w:t>—</w:t>
    </w:r>
    <w:r w:rsidRPr="00511465">
      <w:rPr>
        <w:rStyle w:val="a7"/>
        <w:sz w:val="28"/>
      </w:rPr>
      <w:fldChar w:fldCharType="begin"/>
    </w:r>
    <w:r w:rsidRPr="00511465">
      <w:rPr>
        <w:rStyle w:val="a7"/>
        <w:sz w:val="28"/>
      </w:rPr>
      <w:instrText xml:space="preserve">PAGE  </w:instrText>
    </w:r>
    <w:r w:rsidRPr="00511465">
      <w:rPr>
        <w:rStyle w:val="a7"/>
        <w:sz w:val="28"/>
      </w:rPr>
      <w:fldChar w:fldCharType="separate"/>
    </w:r>
    <w:r>
      <w:rPr>
        <w:rStyle w:val="a7"/>
        <w:noProof/>
        <w:sz w:val="28"/>
      </w:rPr>
      <w:t>4</w:t>
    </w:r>
    <w:r w:rsidRPr="00511465">
      <w:rPr>
        <w:rStyle w:val="a7"/>
        <w:sz w:val="28"/>
      </w:rPr>
      <w:fldChar w:fldCharType="end"/>
    </w:r>
    <w:r>
      <w:rPr>
        <w:rStyle w:val="a7"/>
        <w:rFonts w:hint="eastAsia"/>
        <w:sz w:val="28"/>
      </w:rPr>
      <w:t>—</w:t>
    </w:r>
  </w:p>
  <w:p w:rsidR="00056974" w:rsidRDefault="00314194" w:rsidP="0015405C">
    <w:pPr>
      <w:pStyle w:val="a5"/>
      <w:framePr w:wrap="around" w:vAnchor="text" w:hAnchor="margin" w:xAlign="outside" w:y="1"/>
      <w:rPr>
        <w:rStyle w:val="a7"/>
      </w:rPr>
    </w:pPr>
  </w:p>
  <w:p w:rsidR="00056974" w:rsidRDefault="00314194" w:rsidP="004D786C">
    <w:pPr>
      <w:pStyle w:val="a5"/>
      <w:ind w:right="360" w:firstLine="360"/>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974" w:rsidRDefault="00314194" w:rsidP="00770995">
    <w:pPr>
      <w:pStyle w:val="a5"/>
      <w:framePr w:wrap="around" w:vAnchor="text" w:hAnchor="page" w:x="9412" w:y="16"/>
      <w:rPr>
        <w:rStyle w:val="a7"/>
        <w:rFonts w:hint="eastAsia"/>
        <w:sz w:val="28"/>
      </w:rPr>
    </w:pPr>
    <w:r>
      <w:rPr>
        <w:rStyle w:val="a7"/>
        <w:rFonts w:hint="eastAsia"/>
        <w:sz w:val="28"/>
      </w:rPr>
      <w:t>—</w:t>
    </w:r>
    <w:r>
      <w:rPr>
        <w:rStyle w:val="a7"/>
        <w:sz w:val="28"/>
      </w:rPr>
      <w:fldChar w:fldCharType="begin"/>
    </w:r>
    <w:r>
      <w:rPr>
        <w:rStyle w:val="a7"/>
        <w:sz w:val="28"/>
      </w:rPr>
      <w:instrText xml:space="preserve">PAGE  </w:instrText>
    </w:r>
    <w:r>
      <w:rPr>
        <w:rStyle w:val="a7"/>
        <w:sz w:val="28"/>
      </w:rPr>
      <w:fldChar w:fldCharType="separate"/>
    </w:r>
    <w:r w:rsidR="00202442">
      <w:rPr>
        <w:rStyle w:val="a7"/>
        <w:noProof/>
        <w:sz w:val="28"/>
      </w:rPr>
      <w:t>2</w:t>
    </w:r>
    <w:r>
      <w:rPr>
        <w:rStyle w:val="a7"/>
        <w:sz w:val="28"/>
      </w:rPr>
      <w:fldChar w:fldCharType="end"/>
    </w:r>
    <w:r>
      <w:rPr>
        <w:rStyle w:val="a7"/>
        <w:rFonts w:hint="eastAsia"/>
        <w:sz w:val="28"/>
      </w:rPr>
      <w:t>—</w:t>
    </w:r>
  </w:p>
  <w:p w:rsidR="00056974" w:rsidRDefault="00314194">
    <w:pPr>
      <w:pStyle w:val="a5"/>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974" w:rsidRDefault="00314194" w:rsidP="00602C12">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194" w:rsidRDefault="00314194" w:rsidP="00202442">
      <w:r>
        <w:separator/>
      </w:r>
    </w:p>
  </w:footnote>
  <w:footnote w:type="continuationSeparator" w:id="0">
    <w:p w:rsidR="00314194" w:rsidRDefault="00314194" w:rsidP="00202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66BBC"/>
    <w:multiLevelType w:val="multilevel"/>
    <w:tmpl w:val="6A866B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15"/>
    <w:rsid w:val="00202442"/>
    <w:rsid w:val="00314194"/>
    <w:rsid w:val="00DC043D"/>
    <w:rsid w:val="00DF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6DFDF0-043C-447B-A607-D3F06847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44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4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2442"/>
    <w:rPr>
      <w:sz w:val="18"/>
      <w:szCs w:val="18"/>
    </w:rPr>
  </w:style>
  <w:style w:type="paragraph" w:styleId="a5">
    <w:name w:val="footer"/>
    <w:basedOn w:val="a"/>
    <w:link w:val="a6"/>
    <w:unhideWhenUsed/>
    <w:rsid w:val="00202442"/>
    <w:pPr>
      <w:tabs>
        <w:tab w:val="center" w:pos="4153"/>
        <w:tab w:val="right" w:pos="8306"/>
      </w:tabs>
      <w:snapToGrid w:val="0"/>
      <w:jc w:val="left"/>
    </w:pPr>
    <w:rPr>
      <w:sz w:val="18"/>
      <w:szCs w:val="18"/>
    </w:rPr>
  </w:style>
  <w:style w:type="character" w:customStyle="1" w:styleId="a6">
    <w:name w:val="页脚 字符"/>
    <w:basedOn w:val="a0"/>
    <w:link w:val="a5"/>
    <w:uiPriority w:val="99"/>
    <w:rsid w:val="00202442"/>
    <w:rPr>
      <w:sz w:val="18"/>
      <w:szCs w:val="18"/>
    </w:rPr>
  </w:style>
  <w:style w:type="character" w:styleId="a7">
    <w:name w:val="page number"/>
    <w:basedOn w:val="a0"/>
    <w:rsid w:val="00202442"/>
  </w:style>
  <w:style w:type="paragraph" w:customStyle="1" w:styleId="1">
    <w:name w:val="列出段落1"/>
    <w:basedOn w:val="a"/>
    <w:qFormat/>
    <w:rsid w:val="00202442"/>
    <w:pPr>
      <w:ind w:firstLineChars="200" w:firstLine="420"/>
    </w:pPr>
    <w:rPr>
      <w:rFonts w:eastAsia="宋体"/>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lick.forms.exed.hbs.org/?qs=b96b1beecf810b04c1e057eacf44a11327e7050e6195306276b28c634ff6cf40a4def9708464a41dbc352310717e987a6e7b95694d19d9c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493</Characters>
  <Application>Microsoft Office Word</Application>
  <DocSecurity>0</DocSecurity>
  <Lines>49</Lines>
  <Paragraphs>88</Paragraphs>
  <ScaleCrop>false</ScaleCrop>
  <Company>OS_Home</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XiTongPan</dc:creator>
  <cp:keywords/>
  <dc:description/>
  <cp:lastModifiedBy>XiTongPan</cp:lastModifiedBy>
  <cp:revision>2</cp:revision>
  <dcterms:created xsi:type="dcterms:W3CDTF">2019-12-10T00:30:00Z</dcterms:created>
  <dcterms:modified xsi:type="dcterms:W3CDTF">2019-12-10T00:30:00Z</dcterms:modified>
</cp:coreProperties>
</file>